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5" w:rsidRDefault="002B2F9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 22 по 23 сентября 2017 г. в Москве, в гостинице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Рэдиссон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Славянская», проходила Восьмая Международная конференция и выставка монет COINS-2017.</w:t>
      </w:r>
    </w:p>
    <w:p w:rsidR="008D0165" w:rsidRDefault="008D0165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COINS - единственная в России конференция, посвященная памятным и инвестиционным монетам. В ней приняли участие представители Банка России, специалисты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руководители национальных и коммерческих банков, крупнейших монетных дворов мира, компаний-дистрибьюторов монет, аукционных домов, нумизматических салонов.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первый день COINS-2017, 22 сентября, на торжественном ужине состоялась церемония награждения победителей XI Международного кон</w:t>
      </w:r>
      <w:r w:rsidR="004A4686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курса памятных монет «</w:t>
      </w:r>
      <w:proofErr w:type="gramStart"/>
      <w:r w:rsidR="004A4686"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Монетное</w:t>
      </w:r>
      <w:proofErr w:type="gramEnd"/>
      <w:r w:rsidR="004A46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озвездие-2017». В этом году на конкурс свои монеты представили 40 участников из 27 стран. В номинации «Монета года» победу одержала монета «50 лет австралийской десятичной валюты», представленная компанией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Downies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(Австралия). Второе место заняла монета «Крылатая Исида», представленная немецкой компанией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Numiartis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756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Третье место разделили две монеты: монета «Мир глазами детей», представленная Национальным банком Республики Беларусь, и монета «250-летие основания Варшавского монетного двора», представленная Национальным банком Польши.</w:t>
      </w: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Многие из монет-победительниц в различных номинациях можно было увидеть и приобрести на стендах экспонентов COINS.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конференции COINS-2017, собравшей сотни делегатов из десятков стран, обсуждались вопросы, касающиеся современного состояния рынка памятных и инвестиционных монет, инноваций в монетном производстве, дизайна, маркетинга и рекламы монет, современные монетные программы, а также были представлены последние разработки, касающиеся удачного продвижения монетной продукции.</w:t>
      </w:r>
      <w:proofErr w:type="gramEnd"/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Знаменитый художник дизайнерского центра Управления технологии и диспетчеризации монетно-орденского производства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Андрей Брынза в своем выступлении затронул тему лазерных технологий в формировании художественного образа памятных монет и медалей. С особенностями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чеканки монет необычной формы делегатов конференции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познакомил директор Литовского монетного двора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Саулюс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Вайтекунас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Спецификой и опытом разработки в оформлении монет поделился ведущий художник дизайнерского центра Управления технологии и диспетчеризации монетно-орденского производства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Антон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Щаблыкин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Оливер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Юнггерр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руководитель немецкой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Numiscom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KG, рассказал о новых тенденциях и технологиях для памятных монет.</w:t>
      </w: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Современные экономически эффективные средства защиты разменных монет представил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Кетлер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эксклюзивный представитель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(США).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Ануар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Кониркульжаев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начальник отдела анализа и планирования фондов Управления по работе с наличными деньгами Национального Банка Республики Казахстан,  представил программу Национального Банка по продаже и выкупу мерных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слитков аффинированного золота для населения, что вызвало сильный интерес со стороны аудитории и большое количество вопросов к докладчику.</w:t>
      </w: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Старший менеджер по развитию дилеров и клиентов российской компании «АСК-РЕНТГЕН»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Петришин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продемонстрировал, каким образом с помощью измерения электропроводимости можно выявить поддельные монеты и слитки из драгоценных металлов.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уже сложившейся традиции любой желающий мог самостоятельно изготовить памятный монетовидный жетон на историческом чеканочном прессе «Гознака», а также сделать на нем гравировку.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выставку COINS по традиции приходят не только профессиональные нумизматы, но и целые семьи.</w:t>
      </w:r>
      <w:r w:rsidR="002909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этом году для посетителей выставки были организованы призовые творческие викторины, мастер-классы, увлекательные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всевозможные конкурсы для взрослых и детей. Их победители стали обладателями редких монет, в том числе из драгоценных металлов, монетных наборов, книг, каталогов, альбомов для монет и многих других призов.</w:t>
      </w: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Сотрудники экспозиции «История денег» выставочного центра «Монетный двор»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познакомили посетителей COINS-2017 с нумизматическими шедеврами экспозиции и провели для них призовые викторины, посвященные интересным фактам и событиям, связанным с деньгами.</w:t>
      </w: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детском городке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Монеткино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можно было поучаствовать в конкурсе «Нарисуй </w:t>
      </w:r>
      <w:r w:rsidR="00290956">
        <w:rPr>
          <w:rFonts w:ascii="Times New Roman" w:eastAsia="Times New Roman" w:hAnsi="Times New Roman" w:cs="Times New Roman"/>
          <w:sz w:val="24"/>
          <w:szCs w:val="24"/>
          <w:highlight w:val="white"/>
        </w:rPr>
        <w:t>купюру будущего»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пуститься в увлекательное путешествие в поисках монет вместе с Волшебными Троллями.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Золотым спонсором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Восьмой Международной конференции и выставки монет COINS-2017 стало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Гознак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</w:t>
      </w:r>
      <w:r w:rsidR="0029095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соорга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низатором деловой программы для посетителей выставки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французская нумизматическая компания CGB.FR,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партнером выставочной программы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Монетный двор Чехии, </w:t>
      </w:r>
      <w:proofErr w:type="spellStart"/>
      <w:r w:rsidRPr="0087418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соорганизатором</w:t>
      </w:r>
      <w:proofErr w:type="spellEnd"/>
      <w:r w:rsidRPr="0087418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культурной программы для посетителей выставки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Гохран России. </w:t>
      </w:r>
      <w:r w:rsidRPr="0087418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Партнером выставки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являлась немецкая 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Numiscom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2B2F9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Организатор конференции и выставки COINS-2017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издательский дом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Уотер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Марк», выпускающий специализированный журнал о монетах «Золотой червонец» и являющийся организатором Международного конкурса памятных монет «Монетное созвездие».</w:t>
      </w: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0165" w:rsidRDefault="008D016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8D0165" w:rsidSect="008D01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0165"/>
    <w:rsid w:val="00044B9F"/>
    <w:rsid w:val="00290956"/>
    <w:rsid w:val="002B2F98"/>
    <w:rsid w:val="002D2EC3"/>
    <w:rsid w:val="004A4686"/>
    <w:rsid w:val="0087418B"/>
    <w:rsid w:val="008D0165"/>
    <w:rsid w:val="00934168"/>
    <w:rsid w:val="00A7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9F"/>
  </w:style>
  <w:style w:type="paragraph" w:styleId="1">
    <w:name w:val="heading 1"/>
    <w:basedOn w:val="normal"/>
    <w:next w:val="normal"/>
    <w:rsid w:val="008D01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D01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D01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D01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D01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D01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0165"/>
  </w:style>
  <w:style w:type="table" w:customStyle="1" w:styleId="TableNormal">
    <w:name w:val="Table Normal"/>
    <w:rsid w:val="008D0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01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D016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Руденко</dc:creator>
  <cp:lastModifiedBy>Grudenko</cp:lastModifiedBy>
  <cp:revision>4</cp:revision>
  <dcterms:created xsi:type="dcterms:W3CDTF">2017-10-03T13:35:00Z</dcterms:created>
  <dcterms:modified xsi:type="dcterms:W3CDTF">2017-10-04T08:53:00Z</dcterms:modified>
</cp:coreProperties>
</file>